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91" w:rsidRDefault="009F2E91" w:rsidP="009F2E91">
      <w:pPr>
        <w:pStyle w:val="1"/>
        <w:shd w:val="clear" w:color="auto" w:fill="FFFFFF"/>
        <w:spacing w:before="0" w:beforeAutospacing="0" w:after="0" w:afterAutospacing="0"/>
        <w:jc w:val="center"/>
        <w:rPr>
          <w:color w:val="000000"/>
          <w:sz w:val="28"/>
          <w:szCs w:val="28"/>
        </w:rPr>
      </w:pPr>
      <w:r w:rsidRPr="009F2E91">
        <w:rPr>
          <w:color w:val="000000"/>
          <w:sz w:val="28"/>
          <w:szCs w:val="28"/>
        </w:rPr>
        <w:t xml:space="preserve">Методические рекомендации </w:t>
      </w:r>
    </w:p>
    <w:p w:rsidR="009F2E91" w:rsidRDefault="009F2E91" w:rsidP="009F2E91">
      <w:pPr>
        <w:pStyle w:val="1"/>
        <w:shd w:val="clear" w:color="auto" w:fill="FFFFFF"/>
        <w:spacing w:before="0" w:beforeAutospacing="0" w:after="0" w:afterAutospacing="0"/>
        <w:jc w:val="center"/>
        <w:rPr>
          <w:color w:val="000000"/>
          <w:sz w:val="28"/>
          <w:szCs w:val="28"/>
        </w:rPr>
      </w:pPr>
      <w:bookmarkStart w:id="0" w:name="_GoBack"/>
      <w:r w:rsidRPr="009F2E91">
        <w:rPr>
          <w:color w:val="000000"/>
          <w:sz w:val="28"/>
          <w:szCs w:val="28"/>
        </w:rPr>
        <w:t>по выявлению личной заинтересованности в закупках</w:t>
      </w:r>
    </w:p>
    <w:bookmarkEnd w:id="0"/>
    <w:p w:rsidR="009F2E91" w:rsidRPr="009F2E91" w:rsidRDefault="009F2E91" w:rsidP="009F2E91">
      <w:pPr>
        <w:pStyle w:val="1"/>
        <w:shd w:val="clear" w:color="auto" w:fill="FFFFFF"/>
        <w:spacing w:before="0" w:beforeAutospacing="0" w:after="0" w:afterAutospacing="0"/>
        <w:jc w:val="center"/>
        <w:rPr>
          <w:color w:val="000000"/>
          <w:sz w:val="28"/>
          <w:szCs w:val="28"/>
        </w:rPr>
      </w:pPr>
    </w:p>
    <w:p w:rsidR="009F2E91" w:rsidRPr="009F2E91" w:rsidRDefault="009F2E91" w:rsidP="009F2E91">
      <w:pPr>
        <w:pStyle w:val="af"/>
        <w:shd w:val="clear" w:color="auto" w:fill="FFFFFF"/>
        <w:spacing w:before="0" w:beforeAutospacing="0" w:after="0" w:afterAutospacing="0"/>
        <w:ind w:firstLine="708"/>
        <w:jc w:val="both"/>
        <w:rPr>
          <w:color w:val="333333"/>
          <w:sz w:val="28"/>
          <w:szCs w:val="28"/>
        </w:rPr>
      </w:pPr>
      <w:r w:rsidRPr="009F2E91">
        <w:rPr>
          <w:color w:val="333333"/>
          <w:sz w:val="28"/>
          <w:szCs w:val="28"/>
        </w:rPr>
        <w:t>В настоящих Методических рекомендациях раскрывается алгоритм организации подразделением по профилактике коррупционных и иных правонарушений (далее – подразделение)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p>
    <w:p w:rsidR="009F2E91" w:rsidRPr="009F2E91" w:rsidRDefault="009F2E91" w:rsidP="009F2E91">
      <w:pPr>
        <w:pStyle w:val="af"/>
        <w:shd w:val="clear" w:color="auto" w:fill="FFFFFF"/>
        <w:spacing w:before="0" w:beforeAutospacing="0" w:after="0" w:afterAutospacing="0"/>
        <w:ind w:firstLine="708"/>
        <w:jc w:val="both"/>
        <w:rPr>
          <w:color w:val="333333"/>
          <w:sz w:val="28"/>
          <w:szCs w:val="28"/>
        </w:rPr>
      </w:pPr>
      <w:r w:rsidRPr="009F2E91">
        <w:rPr>
          <w:color w:val="333333"/>
          <w:sz w:val="28"/>
          <w:szCs w:val="28"/>
        </w:rPr>
        <w:t>Подразделению рекомендуется провести обучение служащих (работников), участвующих в осуществлении закупок, и оценку у них знаний института предотвращения и урегулирования конфликта интересов, основой которого является личная заинтересованность.</w:t>
      </w:r>
    </w:p>
    <w:p w:rsidR="009F2E91" w:rsidRPr="009F2E91" w:rsidRDefault="009F2E91" w:rsidP="009F2E91">
      <w:pPr>
        <w:pStyle w:val="af"/>
        <w:shd w:val="clear" w:color="auto" w:fill="FFFFFF"/>
        <w:spacing w:before="0" w:beforeAutospacing="0" w:after="0" w:afterAutospacing="0"/>
        <w:ind w:firstLine="708"/>
        <w:jc w:val="both"/>
        <w:rPr>
          <w:color w:val="333333"/>
          <w:sz w:val="28"/>
          <w:szCs w:val="28"/>
        </w:rPr>
      </w:pPr>
      <w:r w:rsidRPr="009F2E91">
        <w:rPr>
          <w:color w:val="333333"/>
          <w:sz w:val="28"/>
          <w:szCs w:val="28"/>
        </w:rPr>
        <w:t>Кроме того, предусматривается рекомендация сформировать профиль служащего (работника), участвующего в осуществлении закупок, в целях оперативного выявления его личной заинтересованности в осуществлении закупок, в том числе посредством организации добровольного декларирования о возможной личной заинтересованности и анализа имеющейся в распоряжении органа (организации) информации.</w:t>
      </w:r>
    </w:p>
    <w:p w:rsidR="009F2E91" w:rsidRPr="009F2E91" w:rsidRDefault="009F2E91" w:rsidP="009F2E91">
      <w:pPr>
        <w:pStyle w:val="af"/>
        <w:shd w:val="clear" w:color="auto" w:fill="FFFFFF"/>
        <w:spacing w:before="0" w:beforeAutospacing="0" w:after="0" w:afterAutospacing="0"/>
        <w:ind w:firstLine="708"/>
        <w:jc w:val="both"/>
        <w:rPr>
          <w:color w:val="333333"/>
          <w:sz w:val="28"/>
          <w:szCs w:val="28"/>
        </w:rPr>
      </w:pPr>
      <w:r w:rsidRPr="009F2E91">
        <w:rPr>
          <w:color w:val="333333"/>
          <w:sz w:val="28"/>
          <w:szCs w:val="28"/>
        </w:rPr>
        <w:t>Аналогичный профиль рекомендуется сформировать в отношении участников закупок.</w:t>
      </w:r>
    </w:p>
    <w:p w:rsidR="009F2E91" w:rsidRPr="009F2E91" w:rsidRDefault="009F2E91" w:rsidP="009F2E91">
      <w:pPr>
        <w:pStyle w:val="af"/>
        <w:shd w:val="clear" w:color="auto" w:fill="FFFFFF"/>
        <w:spacing w:before="0" w:beforeAutospacing="0" w:after="0" w:afterAutospacing="0"/>
        <w:ind w:firstLine="708"/>
        <w:jc w:val="both"/>
        <w:rPr>
          <w:color w:val="333333"/>
          <w:sz w:val="28"/>
          <w:szCs w:val="28"/>
        </w:rPr>
      </w:pPr>
      <w:r w:rsidRPr="009F2E91">
        <w:rPr>
          <w:color w:val="333333"/>
          <w:sz w:val="28"/>
          <w:szCs w:val="28"/>
        </w:rPr>
        <w:t>По результатам составления профилей служащих (работников), участвующих в осуществлении закупки, а также профилей участников закупок подразделению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9F2E91" w:rsidRPr="009F2E91" w:rsidRDefault="009F2E91" w:rsidP="009F2E91">
      <w:pPr>
        <w:pStyle w:val="af"/>
        <w:shd w:val="clear" w:color="auto" w:fill="FFFFFF"/>
        <w:spacing w:before="0" w:beforeAutospacing="0" w:after="0" w:afterAutospacing="0"/>
        <w:ind w:firstLine="708"/>
        <w:jc w:val="both"/>
        <w:rPr>
          <w:color w:val="333333"/>
          <w:sz w:val="28"/>
          <w:szCs w:val="28"/>
        </w:rPr>
      </w:pPr>
      <w:r w:rsidRPr="009F2E91">
        <w:rPr>
          <w:color w:val="333333"/>
          <w:sz w:val="28"/>
          <w:szCs w:val="28"/>
        </w:rPr>
        <w:t>Представляется, что комплексное проведение указанной работы окажет положительное влияние на снижение количества коррупционных правонарушений в закупках.</w:t>
      </w: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9F2E91" w:rsidRDefault="009F2E91" w:rsidP="00E4122D">
      <w:pPr>
        <w:spacing w:after="0" w:line="240" w:lineRule="auto"/>
        <w:jc w:val="center"/>
        <w:rPr>
          <w:rFonts w:ascii="Times New Roman" w:hAnsi="Times New Roman" w:cs="Times New Roman"/>
          <w:b/>
          <w:sz w:val="28"/>
          <w:szCs w:val="28"/>
        </w:rPr>
      </w:pP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09F" w:rsidRDefault="0026409F" w:rsidP="00E4122D">
      <w:pPr>
        <w:spacing w:after="0" w:line="240" w:lineRule="auto"/>
      </w:pPr>
      <w:r>
        <w:separator/>
      </w:r>
    </w:p>
  </w:endnote>
  <w:endnote w:type="continuationSeparator" w:id="0">
    <w:p w:rsidR="0026409F" w:rsidRDefault="0026409F"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09F" w:rsidRDefault="0026409F" w:rsidP="00E4122D">
      <w:pPr>
        <w:spacing w:after="0" w:line="240" w:lineRule="auto"/>
      </w:pPr>
      <w:r>
        <w:separator/>
      </w:r>
    </w:p>
  </w:footnote>
  <w:footnote w:type="continuationSeparator" w:id="0">
    <w:p w:rsidR="0026409F" w:rsidRDefault="0026409F"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9F2E91">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9F2E91">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9F2E91"/>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9821"/>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paragraph" w:styleId="1">
    <w:name w:val="heading 1"/>
    <w:basedOn w:val="a"/>
    <w:link w:val="10"/>
    <w:uiPriority w:val="9"/>
    <w:qFormat/>
    <w:rsid w:val="009F2E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 w:type="character" w:customStyle="1" w:styleId="10">
    <w:name w:val="Заголовок 1 Знак"/>
    <w:basedOn w:val="a0"/>
    <w:link w:val="1"/>
    <w:uiPriority w:val="9"/>
    <w:rsid w:val="009F2E91"/>
    <w:rPr>
      <w:rFonts w:ascii="Times New Roman" w:eastAsia="Times New Roman" w:hAnsi="Times New Roman" w:cs="Times New Roman"/>
      <w:b/>
      <w:bCs/>
      <w:kern w:val="36"/>
      <w:sz w:val="48"/>
      <w:szCs w:val="48"/>
      <w:lang w:eastAsia="ru-RU"/>
    </w:rPr>
  </w:style>
  <w:style w:type="paragraph" w:styleId="af">
    <w:name w:val="Normal (Web)"/>
    <w:basedOn w:val="a"/>
    <w:uiPriority w:val="99"/>
    <w:semiHidden/>
    <w:unhideWhenUsed/>
    <w:rsid w:val="009F2E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 w:id="1113210972">
      <w:bodyDiv w:val="1"/>
      <w:marLeft w:val="0"/>
      <w:marRight w:val="0"/>
      <w:marTop w:val="0"/>
      <w:marBottom w:val="0"/>
      <w:divBdr>
        <w:top w:val="none" w:sz="0" w:space="0" w:color="auto"/>
        <w:left w:val="none" w:sz="0" w:space="0" w:color="auto"/>
        <w:bottom w:val="none" w:sz="0" w:space="0" w:color="auto"/>
        <w:right w:val="none" w:sz="0" w:space="0" w:color="auto"/>
      </w:divBdr>
      <w:divsChild>
        <w:div w:id="591594591">
          <w:marLeft w:val="0"/>
          <w:marRight w:val="0"/>
          <w:marTop w:val="0"/>
          <w:marBottom w:val="0"/>
          <w:divBdr>
            <w:top w:val="none" w:sz="0" w:space="0" w:color="auto"/>
            <w:left w:val="none" w:sz="0" w:space="0" w:color="auto"/>
            <w:bottom w:val="none" w:sz="0" w:space="0" w:color="auto"/>
            <w:right w:val="none" w:sz="0" w:space="0" w:color="auto"/>
          </w:divBdr>
        </w:div>
      </w:divsChild>
    </w:div>
    <w:div w:id="2034113743">
      <w:bodyDiv w:val="1"/>
      <w:marLeft w:val="0"/>
      <w:marRight w:val="0"/>
      <w:marTop w:val="0"/>
      <w:marBottom w:val="0"/>
      <w:divBdr>
        <w:top w:val="none" w:sz="0" w:space="0" w:color="auto"/>
        <w:left w:val="none" w:sz="0" w:space="0" w:color="auto"/>
        <w:bottom w:val="none" w:sz="0" w:space="0" w:color="auto"/>
        <w:right w:val="none" w:sz="0" w:space="0" w:color="auto"/>
      </w:divBdr>
      <w:divsChild>
        <w:div w:id="340551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4E51-1A5D-455D-AF64-88AA29EA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7284</Words>
  <Characters>41525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Быковская Мария Николаевна</cp:lastModifiedBy>
  <cp:revision>2</cp:revision>
  <cp:lastPrinted>2020-05-15T07:48:00Z</cp:lastPrinted>
  <dcterms:created xsi:type="dcterms:W3CDTF">2022-06-02T08:04:00Z</dcterms:created>
  <dcterms:modified xsi:type="dcterms:W3CDTF">2022-06-02T08:04:00Z</dcterms:modified>
</cp:coreProperties>
</file>