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3E" w:rsidRPr="006D2244" w:rsidRDefault="00A41CE8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4"/>
          <w:lang w:eastAsia="ru-RU" w:bidi="ar-SA"/>
        </w:rPr>
      </w:pPr>
      <w:r>
        <w:rPr>
          <w:rFonts w:eastAsia="Times New Roman" w:cs="Arial"/>
          <w:kern w:val="0"/>
          <w:sz w:val="24"/>
          <w:lang w:eastAsia="ru-RU" w:bidi="ar-SA"/>
        </w:rPr>
        <w:t>Проект П</w:t>
      </w:r>
      <w:r w:rsidR="00F05D3E" w:rsidRPr="00743EFA">
        <w:rPr>
          <w:rFonts w:eastAsia="Times New Roman" w:cs="Arial"/>
          <w:kern w:val="0"/>
          <w:sz w:val="24"/>
          <w:lang w:eastAsia="ru-RU" w:bidi="ar-SA"/>
        </w:rPr>
        <w:t>аспорт</w:t>
      </w:r>
      <w:r w:rsidR="00743EFA" w:rsidRPr="00743EFA">
        <w:rPr>
          <w:rFonts w:eastAsia="Times New Roman" w:cs="Arial"/>
          <w:kern w:val="0"/>
          <w:sz w:val="24"/>
          <w:lang w:eastAsia="ru-RU" w:bidi="ar-SA"/>
        </w:rPr>
        <w:t>а</w:t>
      </w:r>
    </w:p>
    <w:p w:rsidR="00F05D3E" w:rsidRPr="00C65447" w:rsidRDefault="00F05D3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 w:val="24"/>
          <w:lang w:eastAsia="ru-RU" w:bidi="ar-SA"/>
        </w:rPr>
      </w:pPr>
      <w:bookmarkStart w:id="0" w:name="Par30"/>
      <w:bookmarkEnd w:id="0"/>
      <w:r w:rsidRPr="00C65447">
        <w:rPr>
          <w:rFonts w:eastAsia="Times New Roman" w:cs="Arial"/>
          <w:bCs/>
          <w:kern w:val="0"/>
          <w:sz w:val="24"/>
          <w:lang w:eastAsia="ru-RU" w:bidi="ar-SA"/>
        </w:rPr>
        <w:t xml:space="preserve">муниципальной программы </w:t>
      </w:r>
      <w:r>
        <w:rPr>
          <w:rFonts w:eastAsia="Times New Roman" w:cs="Arial"/>
          <w:bCs/>
          <w:kern w:val="0"/>
          <w:sz w:val="24"/>
          <w:lang w:eastAsia="ru-RU" w:bidi="ar-SA"/>
        </w:rPr>
        <w:t>городского округа Долгопрудный</w:t>
      </w:r>
    </w:p>
    <w:p w:rsidR="00F05D3E" w:rsidRDefault="00F05D3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 w:val="24"/>
          <w:lang w:eastAsia="ru-RU" w:bidi="ar-SA"/>
        </w:rPr>
      </w:pPr>
      <w:r w:rsidRPr="00C65447">
        <w:rPr>
          <w:rFonts w:eastAsia="Times New Roman" w:cs="Arial"/>
          <w:bCs/>
          <w:kern w:val="0"/>
          <w:sz w:val="24"/>
          <w:lang w:eastAsia="ru-RU" w:bidi="ar-SA"/>
        </w:rPr>
        <w:t xml:space="preserve"> «</w:t>
      </w:r>
      <w:r>
        <w:rPr>
          <w:rFonts w:eastAsia="Times New Roman" w:cs="Arial"/>
          <w:kern w:val="0"/>
          <w:sz w:val="24"/>
          <w:lang w:eastAsia="ru-RU" w:bidi="ar-SA"/>
        </w:rPr>
        <w:t>Социальная защита населения</w:t>
      </w:r>
      <w:r w:rsidRPr="00C65447">
        <w:rPr>
          <w:rFonts w:eastAsia="Times New Roman" w:cs="Arial"/>
          <w:bCs/>
          <w:kern w:val="0"/>
          <w:sz w:val="24"/>
          <w:lang w:eastAsia="ru-RU" w:bidi="ar-SA"/>
        </w:rPr>
        <w:t>»</w:t>
      </w:r>
      <w:r w:rsidR="00943DDE">
        <w:rPr>
          <w:rFonts w:eastAsia="Times New Roman" w:cs="Arial"/>
          <w:bCs/>
          <w:kern w:val="0"/>
          <w:sz w:val="24"/>
          <w:lang w:eastAsia="ru-RU" w:bidi="ar-SA"/>
        </w:rPr>
        <w:t xml:space="preserve"> на </w:t>
      </w:r>
      <w:r w:rsidR="00943DDE" w:rsidRPr="00743EFA">
        <w:rPr>
          <w:rFonts w:eastAsia="Times New Roman" w:cs="Arial"/>
          <w:bCs/>
          <w:kern w:val="0"/>
          <w:sz w:val="24"/>
          <w:lang w:eastAsia="ru-RU" w:bidi="ar-SA"/>
        </w:rPr>
        <w:t>2023</w:t>
      </w:r>
      <w:r w:rsidRPr="00743EFA">
        <w:rPr>
          <w:rFonts w:eastAsia="Times New Roman" w:cs="Arial"/>
          <w:bCs/>
          <w:kern w:val="0"/>
          <w:sz w:val="24"/>
          <w:lang w:eastAsia="ru-RU" w:bidi="ar-SA"/>
        </w:rPr>
        <w:t>-</w:t>
      </w:r>
      <w:r w:rsidR="00943DDE" w:rsidRPr="00743EFA">
        <w:rPr>
          <w:rFonts w:eastAsia="Times New Roman" w:cs="Arial"/>
          <w:bCs/>
          <w:kern w:val="0"/>
          <w:sz w:val="24"/>
          <w:lang w:eastAsia="ru-RU" w:bidi="ar-SA"/>
        </w:rPr>
        <w:t>2027</w:t>
      </w:r>
      <w:r w:rsidRPr="00743EFA">
        <w:rPr>
          <w:rFonts w:eastAsia="Times New Roman" w:cs="Arial"/>
          <w:bCs/>
          <w:kern w:val="0"/>
          <w:sz w:val="24"/>
          <w:lang w:eastAsia="ru-RU" w:bidi="ar-SA"/>
        </w:rPr>
        <w:t xml:space="preserve"> годы</w:t>
      </w:r>
    </w:p>
    <w:p w:rsidR="00943DDE" w:rsidRPr="00C65447" w:rsidRDefault="00943DDE" w:rsidP="00F05D3E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4"/>
          <w:lang w:eastAsia="ru-RU" w:bidi="ar-SA"/>
        </w:rPr>
      </w:pPr>
    </w:p>
    <w:tbl>
      <w:tblPr>
        <w:tblW w:w="10206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134"/>
        <w:gridCol w:w="1134"/>
        <w:gridCol w:w="1134"/>
        <w:gridCol w:w="1134"/>
        <w:gridCol w:w="1134"/>
      </w:tblGrid>
      <w:tr w:rsidR="00C70127" w:rsidRPr="00972949" w:rsidTr="00972949">
        <w:trPr>
          <w:trHeight w:val="6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7" w:rsidRPr="00972949" w:rsidRDefault="00C70127" w:rsidP="00B52C11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Координатор муниципальной программы 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7" w:rsidRPr="00972949" w:rsidRDefault="00C70127" w:rsidP="006F0F1F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Курсова С.В. – </w:t>
            </w:r>
            <w:r w:rsidR="006F0F1F"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П</w:t>
            </w: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ервый заместитель главы </w:t>
            </w:r>
            <w:r w:rsidR="006F0F1F"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городского округа</w:t>
            </w:r>
          </w:p>
        </w:tc>
      </w:tr>
      <w:tr w:rsidR="00C70127" w:rsidRPr="00972949" w:rsidTr="00972949">
        <w:trPr>
          <w:trHeight w:val="48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7" w:rsidRPr="00972949" w:rsidRDefault="00C70127" w:rsidP="00B52C11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Муниципальный заказчик программы  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7" w:rsidRPr="00972949" w:rsidRDefault="00C70127" w:rsidP="00B52C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Администрация городского округа Долгопрудный (Отдел социальной поддержки и здравоохранения администрации городского округа Долгопрудный)</w:t>
            </w:r>
          </w:p>
        </w:tc>
      </w:tr>
      <w:tr w:rsidR="00C70127" w:rsidRPr="00972949" w:rsidTr="00972949">
        <w:trPr>
          <w:trHeight w:val="75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7" w:rsidRPr="00972949" w:rsidRDefault="00C70127" w:rsidP="00B52C11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Цель муниципальной программы  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27" w:rsidRPr="00972949" w:rsidRDefault="00CB3299" w:rsidP="00CB3299">
            <w:pPr>
              <w:pStyle w:val="a4"/>
              <w:numPr>
                <w:ilvl w:val="0"/>
                <w:numId w:val="3"/>
              </w:numPr>
              <w:tabs>
                <w:tab w:val="left" w:pos="496"/>
              </w:tabs>
              <w:suppressAutoHyphens w:val="0"/>
              <w:autoSpaceDE w:val="0"/>
              <w:autoSpaceDN w:val="0"/>
              <w:adjustRightInd w:val="0"/>
              <w:ind w:left="0" w:firstLine="202"/>
              <w:jc w:val="both"/>
              <w:rPr>
                <w:rFonts w:eastAsia="Times New Roman" w:cs="Arial"/>
                <w:color w:val="000000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  <w:lang w:eastAsia="ru-RU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3261" w:type="dxa"/>
            <w:shd w:val="clear" w:color="auto" w:fill="auto"/>
            <w:hideMark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Перечень подпрограмм</w:t>
            </w:r>
          </w:p>
        </w:tc>
        <w:tc>
          <w:tcPr>
            <w:tcW w:w="6945" w:type="dxa"/>
            <w:gridSpan w:val="6"/>
            <w:shd w:val="clear" w:color="auto" w:fill="auto"/>
            <w:hideMark/>
          </w:tcPr>
          <w:p w:rsidR="00C70127" w:rsidRPr="00972949" w:rsidRDefault="00CB3299" w:rsidP="00B52C11">
            <w:pPr>
              <w:pStyle w:val="a3"/>
              <w:spacing w:line="360" w:lineRule="auto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Муниципальные заказчики подпрограмм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Подпрограмма I «Социальная поддержка граждан»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Администрация городского округа Долгопрудный (Отдел социальной поддержки и здравоохранения)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Подпрограмма II «Развитие системы отдыха и оздоровления детей»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Администрация городского округа Долгопрудный (Управление образования Администрации городского округа Долгопрудный)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Администрация городского округа Долгопрудный </w:t>
            </w:r>
          </w:p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(Управление экономики)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Подпрограмма V «Обеспечивающая программа»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Администрация городского округа Долгопрудный (Отдел по делам несовершеннолетних)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Подпрограмма VI «Развитие и поддержка социально ориентированных некоммерческих организаций» (далее – СО НКО)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Администрация городского округа Долгопрудный (Отдел социальной поддержки и здравоохранения)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rFonts w:eastAsia="Times New Roman" w:cs="Arial"/>
                <w:color w:val="000000"/>
                <w:sz w:val="19"/>
                <w:szCs w:val="19"/>
              </w:rPr>
              <w:t>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70127" w:rsidRPr="00972949" w:rsidRDefault="00C70127" w:rsidP="00B52C11">
            <w:pPr>
              <w:pStyle w:val="a3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Администрация городского округа Долгопрудный (Отдел социальной поддержки и здравоохранения)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 w:val="restart"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Краткая характеристика подпрограмм</w:t>
            </w: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37"/>
                <w:tab w:val="left" w:pos="317"/>
              </w:tabs>
              <w:suppressAutoHyphens w:val="0"/>
              <w:spacing w:line="276" w:lineRule="auto"/>
              <w:ind w:left="42" w:firstLine="0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C70127" w:rsidRPr="00972949" w:rsidRDefault="00CB3299" w:rsidP="00CB3299">
            <w:pPr>
              <w:pStyle w:val="a3"/>
              <w:widowControl/>
              <w:tabs>
                <w:tab w:val="left" w:pos="317"/>
                <w:tab w:val="left" w:pos="601"/>
              </w:tabs>
              <w:suppressAutoHyphens w:val="0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C70127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/>
            <w:shd w:val="clear" w:color="auto" w:fill="auto"/>
          </w:tcPr>
          <w:p w:rsidR="00C70127" w:rsidRPr="00972949" w:rsidRDefault="00C70127" w:rsidP="00B52C1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shd w:val="clear" w:color="auto" w:fill="FFFFFF" w:themeFill="background1"/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C70127" w:rsidRPr="00972949" w:rsidRDefault="00CB3299" w:rsidP="00CB3299">
            <w:pPr>
              <w:pStyle w:val="a3"/>
              <w:widowControl/>
              <w:tabs>
                <w:tab w:val="left" w:pos="317"/>
              </w:tabs>
              <w:suppressAutoHyphens w:val="0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CB3299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/>
            <w:shd w:val="clear" w:color="auto" w:fill="auto"/>
          </w:tcPr>
          <w:p w:rsidR="00CB3299" w:rsidRPr="00972949" w:rsidRDefault="00CB3299" w:rsidP="00CB32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tabs>
                <w:tab w:val="left" w:pos="176"/>
                <w:tab w:val="left" w:pos="317"/>
              </w:tabs>
              <w:suppressAutoHyphens w:val="0"/>
              <w:spacing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3. В рамках Подпрограммы IV «Содействие занятости населения, развитие трудовых ресурсов и охраны труда» (далее - Подпрограмма IV) </w:t>
            </w:r>
            <w:r w:rsidRPr="00972949">
              <w:rPr>
                <w:rFonts w:cs="Arial"/>
                <w:color w:val="000000"/>
                <w:sz w:val="19"/>
                <w:szCs w:val="19"/>
              </w:rPr>
              <w:lastRenderedPageBreak/>
              <w:t>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CB3299" w:rsidRPr="00972949" w:rsidRDefault="00CB3299" w:rsidP="00CB3299">
            <w:pPr>
              <w:pStyle w:val="a3"/>
              <w:widowControl/>
              <w:tabs>
                <w:tab w:val="left" w:pos="176"/>
                <w:tab w:val="left" w:pos="317"/>
              </w:tabs>
              <w:suppressAutoHyphens w:val="0"/>
              <w:spacing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CB3299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/>
            <w:shd w:val="clear" w:color="auto" w:fill="auto"/>
          </w:tcPr>
          <w:p w:rsidR="00CB3299" w:rsidRPr="00972949" w:rsidRDefault="00CB3299" w:rsidP="00CB32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tabs>
                <w:tab w:val="left" w:pos="169"/>
              </w:tabs>
              <w:suppressAutoHyphens w:val="0"/>
              <w:spacing w:line="276" w:lineRule="auto"/>
              <w:ind w:firstLine="169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4.В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</w:p>
          <w:p w:rsidR="00CB3299" w:rsidRPr="00972949" w:rsidRDefault="00CB3299" w:rsidP="00CB3299">
            <w:pPr>
              <w:pStyle w:val="a3"/>
              <w:widowControl/>
              <w:tabs>
                <w:tab w:val="left" w:pos="317"/>
              </w:tabs>
              <w:suppressAutoHyphens w:val="0"/>
              <w:spacing w:line="276" w:lineRule="auto"/>
              <w:ind w:left="27" w:hanging="27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V направлена на создание оптимальных условий:</w:t>
            </w:r>
          </w:p>
          <w:p w:rsidR="00CB3299" w:rsidRPr="00972949" w:rsidRDefault="00CB3299" w:rsidP="00CB3299">
            <w:pPr>
              <w:pStyle w:val="a3"/>
              <w:widowControl/>
              <w:tabs>
                <w:tab w:val="left" w:pos="317"/>
              </w:tabs>
              <w:suppressAutoHyphens w:val="0"/>
              <w:spacing w:line="276" w:lineRule="auto"/>
              <w:ind w:left="27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деятельности органов местного самоуправления городских округов в сфере социальной защиты населения;</w:t>
            </w:r>
          </w:p>
          <w:p w:rsidR="00CB3299" w:rsidRPr="00972949" w:rsidRDefault="00CB3299" w:rsidP="00CB3299">
            <w:pPr>
              <w:tabs>
                <w:tab w:val="left" w:pos="317"/>
              </w:tabs>
              <w:spacing w:line="276" w:lineRule="auto"/>
              <w:ind w:left="34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исполнения переданных полномочий Московской области по созданию комиссий по делам несовершеннолетних и защите их прав. </w:t>
            </w:r>
          </w:p>
        </w:tc>
      </w:tr>
      <w:tr w:rsidR="00CB3299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/>
            <w:shd w:val="clear" w:color="auto" w:fill="auto"/>
          </w:tcPr>
          <w:p w:rsidR="00CB3299" w:rsidRPr="00972949" w:rsidRDefault="00CB3299" w:rsidP="00CB32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tabs>
                <w:tab w:val="left" w:pos="176"/>
                <w:tab w:val="left" w:pos="317"/>
              </w:tabs>
              <w:suppressAutoHyphens w:val="0"/>
              <w:spacing w:line="276" w:lineRule="auto"/>
              <w:ind w:left="34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CB3299" w:rsidRPr="00972949" w:rsidRDefault="00CB3299" w:rsidP="00CB3299">
            <w:pPr>
              <w:pStyle w:val="a3"/>
              <w:widowControl/>
              <w:tabs>
                <w:tab w:val="left" w:pos="176"/>
                <w:tab w:val="left" w:pos="317"/>
              </w:tabs>
              <w:suppressAutoHyphens w:val="0"/>
              <w:spacing w:line="276" w:lineRule="auto"/>
              <w:ind w:left="34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CB3299" w:rsidRPr="00972949" w:rsidTr="0097294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61" w:type="dxa"/>
            <w:vMerge/>
            <w:shd w:val="clear" w:color="auto" w:fill="auto"/>
          </w:tcPr>
          <w:p w:rsidR="00CB3299" w:rsidRPr="00972949" w:rsidRDefault="00CB3299" w:rsidP="00CB32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6945" w:type="dxa"/>
            <w:gridSpan w:val="6"/>
            <w:shd w:val="clear" w:color="auto" w:fill="auto"/>
          </w:tcPr>
          <w:p w:rsidR="00CB3299" w:rsidRPr="00972949" w:rsidRDefault="00CB3299" w:rsidP="00CB3299">
            <w:pPr>
              <w:pStyle w:val="a3"/>
              <w:widowControl/>
              <w:shd w:val="clear" w:color="auto" w:fill="FFFFFF" w:themeFill="background1"/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  <w:shd w:val="clear" w:color="auto" w:fill="FFFFFF" w:themeFill="background1"/>
              </w:rPr>
              <w:t>6. В рамках Подпрограммы VII «Обеспечение доступности для инвалидов и маломобильных групп населения</w:t>
            </w:r>
            <w:r w:rsidRPr="00972949">
              <w:rPr>
                <w:rFonts w:cs="Arial"/>
                <w:color w:val="000000"/>
                <w:sz w:val="19"/>
                <w:szCs w:val="19"/>
              </w:rPr>
              <w:t xml:space="preserve">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CB3299" w:rsidRPr="00972949" w:rsidRDefault="00CB3299" w:rsidP="00CB3299">
            <w:pPr>
              <w:shd w:val="clear" w:color="auto" w:fill="FFFFFF" w:themeFill="background1"/>
              <w:tabs>
                <w:tab w:val="left" w:pos="317"/>
              </w:tabs>
              <w:spacing w:line="276" w:lineRule="auto"/>
              <w:ind w:left="34"/>
              <w:jc w:val="both"/>
              <w:rPr>
                <w:rFonts w:cs="Arial"/>
                <w:color w:val="FFFFFF" w:themeColor="background1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Реализация мероприятий Подпрограммы VII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972949" w:rsidRPr="00972949" w:rsidTr="0042771E">
        <w:trPr>
          <w:trHeight w:val="373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19"/>
                <w:szCs w:val="19"/>
              </w:rPr>
            </w:pPr>
            <w:r w:rsidRPr="00972949">
              <w:rPr>
                <w:sz w:val="19"/>
                <w:szCs w:val="19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42771E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49" w:rsidRPr="00972949" w:rsidRDefault="00972949" w:rsidP="009729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2027</w:t>
            </w:r>
          </w:p>
        </w:tc>
      </w:tr>
      <w:tr w:rsidR="003F4B63" w:rsidRPr="00972949" w:rsidTr="0042771E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972949">
              <w:rPr>
                <w:rFonts w:cs="Arial"/>
                <w:color w:val="000000"/>
                <w:sz w:val="19"/>
                <w:szCs w:val="19"/>
              </w:rPr>
              <w:t>0,00</w:t>
            </w:r>
          </w:p>
        </w:tc>
      </w:tr>
      <w:tr w:rsidR="003F4B63" w:rsidRPr="00972949" w:rsidTr="0042771E">
        <w:trPr>
          <w:trHeight w:val="481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 xml:space="preserve">12 050,00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 xml:space="preserve">15 625,00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14 758,00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15 060,00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15 159,00</w:t>
            </w:r>
          </w:p>
        </w:tc>
      </w:tr>
      <w:tr w:rsidR="003F4B63" w:rsidRPr="00972949" w:rsidTr="003F4B63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 xml:space="preserve">Средства бюджета городского округа Долгопрудный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177 076,80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 xml:space="preserve">30 029,60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 xml:space="preserve">46 941,00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3F4B63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3F4B63">
              <w:rPr>
                <w:rFonts w:cs="Arial"/>
                <w:bCs/>
                <w:sz w:val="19"/>
                <w:szCs w:val="19"/>
              </w:rPr>
              <w:t>33 515,40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3F4B63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3F4B63">
              <w:rPr>
                <w:rFonts w:cs="Arial"/>
                <w:bCs/>
                <w:sz w:val="19"/>
                <w:szCs w:val="19"/>
              </w:rPr>
              <w:t>33 295,40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3F4B63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3F4B63">
              <w:rPr>
                <w:rFonts w:cs="Arial"/>
                <w:bCs/>
                <w:sz w:val="19"/>
                <w:szCs w:val="19"/>
              </w:rPr>
              <w:t>33 295,40</w:t>
            </w:r>
          </w:p>
        </w:tc>
      </w:tr>
      <w:tr w:rsidR="003F4B63" w:rsidRPr="00972949" w:rsidTr="0042771E">
        <w:trPr>
          <w:trHeight w:val="31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63" w:rsidRPr="00972949" w:rsidRDefault="003F4B63" w:rsidP="003F4B63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</w:pPr>
            <w:r w:rsidRPr="00972949">
              <w:rPr>
                <w:rFonts w:eastAsia="Times New Roman" w:cs="Arial"/>
                <w:kern w:val="0"/>
                <w:sz w:val="19"/>
                <w:szCs w:val="19"/>
                <w:lang w:eastAsia="ru-RU" w:bidi="ar-SA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Pr="00972949" w:rsidRDefault="003F4B63" w:rsidP="003F4B63">
            <w:pPr>
              <w:jc w:val="center"/>
              <w:rPr>
                <w:rFonts w:cs="Arial"/>
                <w:bCs/>
                <w:sz w:val="19"/>
                <w:szCs w:val="19"/>
              </w:rPr>
            </w:pPr>
            <w:r w:rsidRPr="00972949">
              <w:rPr>
                <w:rFonts w:cs="Arial"/>
                <w:bCs/>
                <w:sz w:val="19"/>
                <w:szCs w:val="19"/>
              </w:rPr>
              <w:t>0,00</w:t>
            </w:r>
          </w:p>
        </w:tc>
      </w:tr>
      <w:tr w:rsidR="003F4B63" w:rsidRPr="00972949" w:rsidTr="0042771E">
        <w:trPr>
          <w:trHeight w:val="52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63" w:rsidRPr="002B5C83" w:rsidRDefault="003F4B63" w:rsidP="003F4B63">
            <w:pPr>
              <w:autoSpaceDE w:val="0"/>
              <w:autoSpaceDN w:val="0"/>
              <w:rPr>
                <w:rFonts w:cs="Arial"/>
                <w:sz w:val="19"/>
                <w:szCs w:val="19"/>
              </w:rPr>
            </w:pPr>
            <w:r w:rsidRPr="002B5C83">
              <w:rPr>
                <w:rFonts w:cs="Arial"/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249 728,80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>
              <w:rPr>
                <w:rFonts w:cs="Arial"/>
                <w:color w:val="000000"/>
                <w:szCs w:val="20"/>
              </w:rPr>
              <w:t>42 079,60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62 566,00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48 273,40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48 355,40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B63" w:rsidRDefault="003F4B63" w:rsidP="003F4B63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48 454,40</w:t>
            </w:r>
          </w:p>
        </w:tc>
      </w:tr>
    </w:tbl>
    <w:p w:rsidR="000375CD" w:rsidRDefault="000375CD">
      <w:bookmarkStart w:id="1" w:name="_GoBack"/>
      <w:bookmarkEnd w:id="1"/>
    </w:p>
    <w:sectPr w:rsidR="000375CD" w:rsidSect="009729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A6F"/>
    <w:multiLevelType w:val="hybridMultilevel"/>
    <w:tmpl w:val="B4B0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64B42"/>
    <w:multiLevelType w:val="hybridMultilevel"/>
    <w:tmpl w:val="B350BB76"/>
    <w:lvl w:ilvl="0" w:tplc="6076F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FE9"/>
    <w:multiLevelType w:val="hybridMultilevel"/>
    <w:tmpl w:val="83A822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B"/>
    <w:rsid w:val="000375CD"/>
    <w:rsid w:val="00067517"/>
    <w:rsid w:val="001B7A03"/>
    <w:rsid w:val="001C0E4D"/>
    <w:rsid w:val="003D1074"/>
    <w:rsid w:val="003F4B63"/>
    <w:rsid w:val="0042771E"/>
    <w:rsid w:val="0043037E"/>
    <w:rsid w:val="004C24DB"/>
    <w:rsid w:val="006D2244"/>
    <w:rsid w:val="006F0F1F"/>
    <w:rsid w:val="0071684C"/>
    <w:rsid w:val="00743EFA"/>
    <w:rsid w:val="00776EDF"/>
    <w:rsid w:val="00943DDE"/>
    <w:rsid w:val="00972949"/>
    <w:rsid w:val="009C6D8A"/>
    <w:rsid w:val="00A41CE8"/>
    <w:rsid w:val="00A4226B"/>
    <w:rsid w:val="00B23903"/>
    <w:rsid w:val="00C70127"/>
    <w:rsid w:val="00CB3299"/>
    <w:rsid w:val="00DA0B35"/>
    <w:rsid w:val="00EE3DCF"/>
    <w:rsid w:val="00F05D3E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A5D1-0EAF-4CBD-815B-F9D7B81C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3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012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readonly">
    <w:name w:val="readonly"/>
    <w:basedOn w:val="a0"/>
    <w:rsid w:val="0043037E"/>
  </w:style>
  <w:style w:type="character" w:customStyle="1" w:styleId="subp-group">
    <w:name w:val="subp-group"/>
    <w:basedOn w:val="a0"/>
    <w:rsid w:val="0043037E"/>
  </w:style>
  <w:style w:type="paragraph" w:styleId="a4">
    <w:name w:val="List Paragraph"/>
    <w:basedOn w:val="a"/>
    <w:uiPriority w:val="34"/>
    <w:qFormat/>
    <w:rsid w:val="00CB32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299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Анастасия Андреевна</dc:creator>
  <cp:keywords/>
  <dc:description/>
  <cp:lastModifiedBy>Сапранькова Екатерина Викторовна</cp:lastModifiedBy>
  <cp:revision>8</cp:revision>
  <dcterms:created xsi:type="dcterms:W3CDTF">2022-10-27T08:40:00Z</dcterms:created>
  <dcterms:modified xsi:type="dcterms:W3CDTF">2024-10-30T16:52:00Z</dcterms:modified>
</cp:coreProperties>
</file>